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DF8" w:rsidRDefault="005B0811">
      <w:pPr>
        <w:jc w:val="center"/>
        <w:rPr>
          <w:b/>
        </w:rPr>
      </w:pPr>
      <w:r>
        <w:rPr>
          <w:b/>
        </w:rPr>
        <w:t>MATEMATICA</w:t>
      </w:r>
    </w:p>
    <w:p w:rsidR="00312DF8" w:rsidRDefault="005B0811">
      <w:pPr>
        <w:rPr>
          <w:b/>
        </w:rPr>
      </w:pPr>
      <w:r>
        <w:rPr>
          <w:b/>
        </w:rPr>
        <w:t>Indicazioni metodologiche</w:t>
      </w:r>
    </w:p>
    <w:p w:rsidR="00312DF8" w:rsidRDefault="005B0811">
      <w:pPr>
        <w:jc w:val="both"/>
      </w:pPr>
      <w:r>
        <w:t>L’apprendimento-insegnamento della matematica è da intendersi come una forma di conoscenza della realtà che, partendo dai dati offerti dalla percezione</w:t>
      </w:r>
      <w:r>
        <w:t xml:space="preserve"> e dall’esperienza sensibile, porta alla loro organizzazione razionale.</w:t>
      </w:r>
    </w:p>
    <w:p w:rsidR="00312DF8" w:rsidRDefault="005B0811">
      <w:pPr>
        <w:jc w:val="both"/>
      </w:pPr>
      <w:r>
        <w:t>Alla educazione matematica va riconosciuto un contributo specifico per la formazione di una struttura di pensiero razionale e critico, che la rende strumento irrinunciabile di crescita</w:t>
      </w:r>
      <w:r>
        <w:t xml:space="preserve"> culturale e umana.</w:t>
      </w:r>
    </w:p>
    <w:p w:rsidR="00312DF8" w:rsidRDefault="00312DF8">
      <w:pPr>
        <w:jc w:val="both"/>
      </w:pPr>
    </w:p>
    <w:p w:rsidR="00312DF8" w:rsidRDefault="005B0811">
      <w:pPr>
        <w:jc w:val="both"/>
      </w:pPr>
      <w:r>
        <w:t xml:space="preserve">Per favorire questo sviluppo della mente del bambino l’insegnante deve preoccuparsi, più che di trasmettere  nozioni, di </w:t>
      </w:r>
      <w:r>
        <w:rPr>
          <w:b/>
        </w:rPr>
        <w:t xml:space="preserve">far costruire concetti </w:t>
      </w:r>
      <w:r>
        <w:t>e di</w:t>
      </w:r>
      <w:r>
        <w:rPr>
          <w:b/>
        </w:rPr>
        <w:t xml:space="preserve"> </w:t>
      </w:r>
      <w:r>
        <w:t>guidare alla reinvenzione della matematica da parte dei bambini, reinvenzione intesa c</w:t>
      </w:r>
      <w:r>
        <w:t>ome</w:t>
      </w:r>
      <w:r>
        <w:rPr>
          <w:b/>
        </w:rPr>
        <w:t xml:space="preserve"> </w:t>
      </w:r>
      <w:r>
        <w:t>appropriazione attiva di idee, strutture e procedure. Ciò comporta la messa in campo di due categorie portanti della matematica: intuizione  e rigore. L’intuizione, che ha un ruolo dominante nella storia della matematica, non è in antitesi al rigore, s</w:t>
      </w:r>
      <w:r>
        <w:t>e questo è inteso non come meticolosità fine a se stessa, ma come necessità di “rendere ragione”,  abitudine mentale a chiedersi il “perché” di ogni affermazione. Il rendere ragione delle proprie affermazioni richiede un linguaggio preciso, univoco e sinte</w:t>
      </w:r>
      <w:r>
        <w:t>tico ; prendendo le mosse dalle produzioni verbali dei bambini e rispettando le fasi e le dinamiche dell’apprendimento, è compito dell’insegnante guidare gli alunni alla costruzione di un linguaggio rigoroso e condurre gradualmente alla acquisizione del ra</w:t>
      </w:r>
      <w:r>
        <w:t>gionamento matematico.</w:t>
      </w:r>
    </w:p>
    <w:p w:rsidR="00312DF8" w:rsidRDefault="00312DF8">
      <w:pPr>
        <w:jc w:val="both"/>
      </w:pPr>
    </w:p>
    <w:p w:rsidR="00312DF8" w:rsidRDefault="005B0811">
      <w:pPr>
        <w:jc w:val="both"/>
      </w:pPr>
      <w:r>
        <w:t xml:space="preserve">Le </w:t>
      </w:r>
      <w:r>
        <w:rPr>
          <w:i/>
        </w:rPr>
        <w:t>Indicazioni nazionali</w:t>
      </w:r>
      <w:r>
        <w:t xml:space="preserve"> sottolineano la necessità di un  </w:t>
      </w:r>
      <w:r>
        <w:rPr>
          <w:b/>
        </w:rPr>
        <w:t>continuo aggancio alla</w:t>
      </w:r>
      <w:r>
        <w:t xml:space="preserve"> </w:t>
      </w:r>
      <w:r>
        <w:rPr>
          <w:b/>
        </w:rPr>
        <w:t>realtà</w:t>
      </w:r>
      <w:r>
        <w:t xml:space="preserve"> e ai dati che si presentano all’esperienza sensibile per giungere gradualmente alla loro organizzazione razionale. Il percorso di acquisizione d</w:t>
      </w:r>
      <w:r>
        <w:t xml:space="preserve">ei concetti matematici non può assumere una sequenza di tipo lineare, “come se si potesse aprire un argomento per chiuderlo e passare ad un altro”; il percorso è invece, da intendersi </w:t>
      </w:r>
      <w:r>
        <w:rPr>
          <w:u w:val="single"/>
        </w:rPr>
        <w:t>“a spirale”</w:t>
      </w:r>
      <w:r>
        <w:t xml:space="preserve">, “in quanto procede contemporaneamente all’allargamento dei </w:t>
      </w:r>
      <w:r>
        <w:t>contenuti e all’approfondimento della comprensione. In questo modo si rende possibile per ciascun ragazzo una sempre maggiore consapevolezza dei passi fatti ed è più probabile il superamento nel tempo di eventuali difficoltà.</w:t>
      </w:r>
    </w:p>
    <w:p w:rsidR="00312DF8" w:rsidRDefault="00312DF8">
      <w:pPr>
        <w:jc w:val="both"/>
      </w:pPr>
    </w:p>
    <w:p w:rsidR="00312DF8" w:rsidRDefault="005B0811">
      <w:pPr>
        <w:jc w:val="both"/>
      </w:pPr>
      <w:r>
        <w:t>La matematica, pertanto, favo</w:t>
      </w:r>
      <w:r>
        <w:t>risce ed incrementa il rapporto complessivo della persona con ciò che la circonda, attraverso lo sviluppo delle seguenti competenze:</w:t>
      </w:r>
    </w:p>
    <w:p w:rsidR="00312DF8" w:rsidRDefault="00312DF8">
      <w:pPr>
        <w:jc w:val="both"/>
      </w:pPr>
    </w:p>
    <w:p w:rsidR="00312DF8" w:rsidRDefault="005B0811">
      <w:pPr>
        <w:numPr>
          <w:ilvl w:val="0"/>
          <w:numId w:val="1"/>
        </w:numPr>
        <w:spacing w:after="0"/>
        <w:jc w:val="both"/>
      </w:pPr>
      <w:r>
        <w:t>osservazione della realtà, con particolare attenzione al riconoscimento di relazioni tra oggetti o grandezze, di regolarit</w:t>
      </w:r>
      <w:r>
        <w:t>à, di differenze, di invarianze o di modificazioni nel tempo e nello spazio;</w:t>
      </w:r>
    </w:p>
    <w:p w:rsidR="00312DF8" w:rsidRDefault="00312DF8">
      <w:pPr>
        <w:ind w:left="360"/>
        <w:jc w:val="both"/>
      </w:pPr>
    </w:p>
    <w:p w:rsidR="00312DF8" w:rsidRDefault="005B0811">
      <w:pPr>
        <w:numPr>
          <w:ilvl w:val="0"/>
          <w:numId w:val="1"/>
        </w:numPr>
        <w:spacing w:after="0"/>
        <w:jc w:val="both"/>
      </w:pPr>
      <w:r>
        <w:t>descrizione della realtà secondo modalità che, in tempi adeguati, dalle forme verbali o illustrate, passano all’uso del linguaggio e degli strumenti matematici (numeri, figure, m</w:t>
      </w:r>
      <w:r>
        <w:t>isure, grafici…);</w:t>
      </w:r>
    </w:p>
    <w:p w:rsidR="00312DF8" w:rsidRDefault="00312DF8">
      <w:pPr>
        <w:jc w:val="both"/>
      </w:pPr>
    </w:p>
    <w:p w:rsidR="00312DF8" w:rsidRDefault="005B0811">
      <w:pPr>
        <w:numPr>
          <w:ilvl w:val="0"/>
          <w:numId w:val="1"/>
        </w:numPr>
        <w:spacing w:after="0"/>
        <w:jc w:val="both"/>
      </w:pPr>
      <w:r>
        <w:lastRenderedPageBreak/>
        <w:t>organizzazione complessiva del proprio modo di ragionare, argomentare, affrontare problemi, acquisendo, oltre alle forme espressive del linguaggio e del senso comune, quelle più caratteristiche della razionalità matematica e scientifica;</w:t>
      </w:r>
    </w:p>
    <w:p w:rsidR="00312DF8" w:rsidRDefault="00312DF8">
      <w:pPr>
        <w:jc w:val="both"/>
      </w:pPr>
    </w:p>
    <w:p w:rsidR="00312DF8" w:rsidRDefault="005B0811">
      <w:pPr>
        <w:numPr>
          <w:ilvl w:val="0"/>
          <w:numId w:val="1"/>
        </w:numPr>
        <w:spacing w:after="0"/>
        <w:jc w:val="both"/>
      </w:pPr>
      <w:r>
        <w:t>uso del linguaggio specifico e delle forme simboliche scelte dalla matematica;</w:t>
      </w:r>
    </w:p>
    <w:p w:rsidR="00312DF8" w:rsidRDefault="00312DF8">
      <w:pPr>
        <w:jc w:val="both"/>
      </w:pPr>
    </w:p>
    <w:p w:rsidR="00312DF8" w:rsidRDefault="005B0811">
      <w:pPr>
        <w:numPr>
          <w:ilvl w:val="0"/>
          <w:numId w:val="1"/>
        </w:numPr>
        <w:spacing w:after="0"/>
        <w:jc w:val="both"/>
      </w:pPr>
      <w:r>
        <w:t>progettazione e immaginazione, particolarmente attraverso attività di risoluzione di problemi in contesti vari.</w:t>
      </w:r>
    </w:p>
    <w:p w:rsidR="00312DF8" w:rsidRDefault="005B0811">
      <w:pPr>
        <w:tabs>
          <w:tab w:val="left" w:pos="3165"/>
        </w:tabs>
        <w:jc w:val="both"/>
      </w:pPr>
      <w:r>
        <w:tab/>
      </w:r>
    </w:p>
    <w:p w:rsidR="00312DF8" w:rsidRDefault="005B0811">
      <w:pPr>
        <w:jc w:val="both"/>
      </w:pPr>
      <w:r>
        <w:t xml:space="preserve">Nella nostra programmazione il percorso formativo si svolge </w:t>
      </w:r>
      <w:r>
        <w:t>attorno a tre nuclei tematici che organizzano unitariamente gli obiettivi specifici di apprendimento in conoscenze, abilità e competenze:</w:t>
      </w:r>
    </w:p>
    <w:p w:rsidR="00312DF8" w:rsidRDefault="00312DF8">
      <w:pPr>
        <w:jc w:val="both"/>
      </w:pPr>
    </w:p>
    <w:p w:rsidR="00312DF8" w:rsidRDefault="005B0811">
      <w:pPr>
        <w:numPr>
          <w:ilvl w:val="0"/>
          <w:numId w:val="2"/>
        </w:numPr>
        <w:spacing w:after="0"/>
        <w:jc w:val="both"/>
      </w:pPr>
      <w:r>
        <w:t>Il numero</w:t>
      </w:r>
    </w:p>
    <w:p w:rsidR="00312DF8" w:rsidRDefault="005B0811">
      <w:pPr>
        <w:numPr>
          <w:ilvl w:val="0"/>
          <w:numId w:val="2"/>
        </w:numPr>
        <w:spacing w:after="0"/>
        <w:jc w:val="both"/>
      </w:pPr>
      <w:r>
        <w:t>Spazio e figure</w:t>
      </w:r>
    </w:p>
    <w:p w:rsidR="00312DF8" w:rsidRDefault="005B0811">
      <w:pPr>
        <w:numPr>
          <w:ilvl w:val="0"/>
          <w:numId w:val="2"/>
        </w:numPr>
        <w:spacing w:after="0"/>
        <w:jc w:val="both"/>
      </w:pPr>
      <w:r>
        <w:t>Relazioni, dati e previsioni</w:t>
      </w:r>
    </w:p>
    <w:p w:rsidR="00312DF8" w:rsidRDefault="00312DF8"/>
    <w:p w:rsidR="00312DF8" w:rsidRDefault="00312DF8"/>
    <w:p w:rsidR="00312DF8" w:rsidRDefault="00312DF8"/>
    <w:p w:rsidR="00312DF8" w:rsidRDefault="00312DF8"/>
    <w:p w:rsidR="00312DF8" w:rsidRDefault="00312DF8"/>
    <w:p w:rsidR="00312DF8" w:rsidRDefault="00312DF8"/>
    <w:p w:rsidR="00312DF8" w:rsidRDefault="00312DF8"/>
    <w:p w:rsidR="00312DF8" w:rsidRDefault="00312DF8"/>
    <w:p w:rsidR="00312DF8" w:rsidRDefault="00312DF8"/>
    <w:p w:rsidR="00312DF8" w:rsidRDefault="00312DF8"/>
    <w:p w:rsidR="00312DF8" w:rsidRDefault="00312DF8"/>
    <w:p w:rsidR="00312DF8" w:rsidRDefault="00312DF8"/>
    <w:p w:rsidR="00312DF8" w:rsidRDefault="00312DF8"/>
    <w:p w:rsidR="00312DF8" w:rsidRDefault="00312DF8"/>
    <w:p w:rsidR="00312DF8" w:rsidRDefault="00312DF8"/>
    <w:p w:rsidR="00312DF8" w:rsidRDefault="00312DF8"/>
    <w:p w:rsidR="00312DF8" w:rsidRDefault="00312DF8"/>
    <w:tbl>
      <w:tblPr>
        <w:tblW w:w="9628" w:type="dxa"/>
        <w:tblCellMar>
          <w:left w:w="10" w:type="dxa"/>
          <w:right w:w="10" w:type="dxa"/>
        </w:tblCellMar>
        <w:tblLook w:val="0000"/>
      </w:tblPr>
      <w:tblGrid>
        <w:gridCol w:w="768"/>
        <w:gridCol w:w="3036"/>
        <w:gridCol w:w="2715"/>
        <w:gridCol w:w="3109"/>
      </w:tblGrid>
      <w:tr w:rsidR="00312DF8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12DF8" w:rsidRDefault="00312DF8">
            <w:pPr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OBIETTIVI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CONTENUTI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TRAGUARDI DI COMPETENZA</w:t>
            </w:r>
          </w:p>
        </w:tc>
      </w:tr>
      <w:tr w:rsidR="00312DF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12DF8" w:rsidRDefault="005B0811">
            <w:pPr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Numeri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pStyle w:val="Paragrafoelenco"/>
              <w:ind w:left="0"/>
              <w:jc w:val="both"/>
              <w:rPr>
                <w:rFonts w:cs="Calibri"/>
              </w:rPr>
            </w:pPr>
            <w:r>
              <w:rPr>
                <w:rFonts w:cs="Calibri"/>
              </w:rPr>
              <w:t>Leggere, scrivere numeri naturali e decimali, avendo consapevolezza della notazione posizionale.</w:t>
            </w:r>
          </w:p>
          <w:p w:rsidR="00312DF8" w:rsidRDefault="005B0811">
            <w:pPr>
              <w:pStyle w:val="Paragrafoelenco"/>
              <w:ind w:left="0"/>
              <w:jc w:val="both"/>
              <w:rPr>
                <w:rFonts w:cs="Calibri"/>
              </w:rPr>
            </w:pPr>
            <w:r>
              <w:rPr>
                <w:rFonts w:cs="Calibri"/>
              </w:rPr>
              <w:t>Confrontarli e ordinarli anche rappresentandoli sulla retta, con riferimento alle monete o ai risultati di semplici misure.</w:t>
            </w:r>
          </w:p>
          <w:p w:rsidR="00312DF8" w:rsidRDefault="005B0811">
            <w:pPr>
              <w:pStyle w:val="Paragrafoelenco"/>
              <w:ind w:left="0"/>
              <w:jc w:val="both"/>
              <w:rPr>
                <w:rFonts w:cs="Calibri"/>
              </w:rPr>
            </w:pPr>
            <w:r>
              <w:rPr>
                <w:rFonts w:cs="Calibri"/>
              </w:rPr>
              <w:t>Conoscere sistemi di notazi</w:t>
            </w:r>
            <w:r>
              <w:rPr>
                <w:rFonts w:cs="Calibri"/>
              </w:rPr>
              <w:t>one che sono o sono stati in uso in luoghi, tempi e culture diverse dalla nostra.</w:t>
            </w:r>
          </w:p>
          <w:p w:rsidR="00312DF8" w:rsidRDefault="005B0811">
            <w:pPr>
              <w:pStyle w:val="Paragrafoelenco"/>
              <w:ind w:left="0"/>
              <w:jc w:val="both"/>
              <w:rPr>
                <w:rFonts w:cs="Calibri"/>
              </w:rPr>
            </w:pPr>
            <w:r>
              <w:rPr>
                <w:rFonts w:cs="Calibri"/>
              </w:rPr>
              <w:t>Eseguire a mente operazioni con numeri interi e decimali.</w:t>
            </w:r>
          </w:p>
          <w:p w:rsidR="00312DF8" w:rsidRDefault="005B0811">
            <w:pPr>
              <w:pStyle w:val="Paragrafoelenco"/>
              <w:ind w:left="0"/>
              <w:jc w:val="both"/>
              <w:rPr>
                <w:rFonts w:cs="Calibri"/>
              </w:rPr>
            </w:pPr>
            <w:r>
              <w:rPr>
                <w:rFonts w:cs="Calibri"/>
              </w:rPr>
              <w:t>Eseguire correttamente le quattro operazioni con i numeri interi e decimali.</w:t>
            </w:r>
          </w:p>
          <w:p w:rsidR="00312DF8" w:rsidRDefault="005B0811">
            <w:pPr>
              <w:pStyle w:val="Paragrafoelenco"/>
              <w:ind w:left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Conoscere e utilizzare le proprietà </w:t>
            </w:r>
            <w:r>
              <w:rPr>
                <w:rFonts w:cs="Calibri"/>
              </w:rPr>
              <w:t>delle quattro operazioni.</w:t>
            </w:r>
          </w:p>
          <w:p w:rsidR="00312DF8" w:rsidRDefault="005B0811">
            <w:pPr>
              <w:pStyle w:val="Paragrafoelenco"/>
              <w:ind w:left="0"/>
              <w:jc w:val="both"/>
              <w:rPr>
                <w:rFonts w:cs="Calibri"/>
              </w:rPr>
            </w:pPr>
            <w:r>
              <w:rPr>
                <w:rFonts w:cs="Calibri"/>
              </w:rPr>
              <w:t>Stimare il risultato di semplici operazioni.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Conoscere con sicurezza le tabelline della moltiplicazione dei numeri fino a 10. 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Acquisire i concetti di multiplo e divisore.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Acquisire il concetto di frazione.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Leggere, scrivere e ope</w:t>
            </w:r>
            <w:r>
              <w:rPr>
                <w:rFonts w:cs="Calibri"/>
              </w:rPr>
              <w:t>rare con le frazioni.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I numeri oltre il 1000.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Le proprietà delle quattro operazioni e il loro utilizzo.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Moltiplicazioni in colonna con una o due cifre al moltiplicatore e divisioni in colonna con una o due cifre al divisore.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Moltiplicazioni e divisioni per</w:t>
            </w:r>
            <w:r>
              <w:rPr>
                <w:rFonts w:cs="Calibri"/>
              </w:rPr>
              <w:t xml:space="preserve"> 10, 100, 1 000.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Moltiplicatori e divisori di un numero.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Individuazione delle frazioni complementari ed equivalenti.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Trasformazione di una frazione in numero decimale.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Ordinamento e confronto di numeri decimali.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Esecuzione delle operazioni con i numeri dec</w:t>
            </w:r>
            <w:r>
              <w:rPr>
                <w:rFonts w:cs="Calibri"/>
              </w:rPr>
              <w:t>imali.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Calcolo della frazione di una quantità.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Esecuzione di equivalenze e calcolo delle frazioni relative alle misure di valore.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L’alunno: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Si muove con sicurezza nel calcolo scritto e mentale con i numeri naturali e sa valutare l’opportunità di ricorrere </w:t>
            </w:r>
            <w:r>
              <w:rPr>
                <w:rFonts w:cs="Calibri"/>
              </w:rPr>
              <w:t>a una calcolatrice.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Legge e comprende testi che coinvolgono aspetti logici e matematici.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Riesce a risolvere facili problemi in tutti gli ambiti di contenuto, mantenendo il controllo sia sul processo risolutivo, sia sui risultati. Descrive il procedimento s</w:t>
            </w:r>
            <w:r>
              <w:rPr>
                <w:rFonts w:cs="Calibri"/>
              </w:rPr>
              <w:t>eguito e riconosce strategie di soluzione diverse dalla propria.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Costruisce ragionamenti formulando ipotesi, sostenendo le proprie idee e confrontandosi con il punto di vista di altri.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Riconosce ed utilizza rappresentazioni diverse di oggetti matematici (n</w:t>
            </w:r>
            <w:r>
              <w:rPr>
                <w:rFonts w:cs="Calibri"/>
              </w:rPr>
              <w:t>umeri decimali, frazioni, percentuali, scale di riduzione…).</w:t>
            </w:r>
          </w:p>
          <w:p w:rsidR="00312DF8" w:rsidRDefault="005B0811">
            <w:r>
              <w:rPr>
                <w:rFonts w:cs="Calibri"/>
              </w:rPr>
              <w:t xml:space="preserve">Sviluppa un atteggiamento positivo rispetto alla matematica, attraverso esperienze significative, che gli hanno fatto intuire come gli strumenti matematici che ha imparato ad utilizzare siano </w:t>
            </w:r>
            <w:r>
              <w:rPr>
                <w:rFonts w:cs="Calibri"/>
              </w:rPr>
              <w:t>utili per operare nella realtà.</w:t>
            </w:r>
          </w:p>
        </w:tc>
      </w:tr>
    </w:tbl>
    <w:p w:rsidR="00312DF8" w:rsidRDefault="00312DF8"/>
    <w:p w:rsidR="00312DF8" w:rsidRDefault="00312DF8"/>
    <w:p w:rsidR="00312DF8" w:rsidRDefault="00312DF8"/>
    <w:tbl>
      <w:tblPr>
        <w:tblW w:w="9628" w:type="dxa"/>
        <w:tblCellMar>
          <w:left w:w="10" w:type="dxa"/>
          <w:right w:w="10" w:type="dxa"/>
        </w:tblCellMar>
        <w:tblLook w:val="0000"/>
      </w:tblPr>
      <w:tblGrid>
        <w:gridCol w:w="768"/>
        <w:gridCol w:w="3105"/>
        <w:gridCol w:w="2671"/>
        <w:gridCol w:w="3084"/>
      </w:tblGrid>
      <w:tr w:rsidR="00312DF8">
        <w:tblPrEx>
          <w:tblCellMar>
            <w:top w:w="0" w:type="dxa"/>
            <w:bottom w:w="0" w:type="dxa"/>
          </w:tblCellMar>
        </w:tblPrEx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312DF8"/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OBIETTIVI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CONTENUTI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TRAGUARDI DI COMPETENZA</w:t>
            </w:r>
          </w:p>
        </w:tc>
      </w:tr>
      <w:tr w:rsidR="00312DF8">
        <w:tblPrEx>
          <w:tblCellMar>
            <w:top w:w="0" w:type="dxa"/>
            <w:bottom w:w="0" w:type="dxa"/>
          </w:tblCellMar>
        </w:tblPrEx>
        <w:trPr>
          <w:cantSplit/>
          <w:trHeight w:val="70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12DF8" w:rsidRDefault="005B0811">
            <w:pPr>
              <w:ind w:left="113" w:right="113"/>
              <w:jc w:val="center"/>
            </w:pPr>
            <w:r>
              <w:rPr>
                <w:rFonts w:cs="Calibri"/>
                <w:b/>
                <w:sz w:val="24"/>
                <w:szCs w:val="24"/>
              </w:rPr>
              <w:t>Spazio e figure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Riconoscere linee, semirette e segmenti.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Individuare le possibili relazioni tra rette nel piano eacquisire i concetti di perpendicolarità, parallelismo, </w:t>
            </w:r>
            <w:r>
              <w:rPr>
                <w:rFonts w:cs="Calibri"/>
              </w:rPr>
              <w:t>orizzontalità e verticalità.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Riconoscere, denominare, descrivere e classificare figure geometriche in base alle loro caratteristiche.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Riprodurre figure geometriche, utilizzando strumenti idonei.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Riconoscere ed effettuare rotazioni, traslazioni, ingrandimen</w:t>
            </w:r>
            <w:r>
              <w:rPr>
                <w:rFonts w:cs="Calibri"/>
              </w:rPr>
              <w:t>ti, riduzioni e simmetrie.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Riconoscere, classificare e misurare gli angoli utilizzando strumenti idonei.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Calcolare il perimetro di figure piane utilizzando le formule adeguate o altri procedimenti.</w:t>
            </w:r>
          </w:p>
          <w:p w:rsidR="00312DF8" w:rsidRDefault="005B0811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Acquisire il concetto di area e calcolarla in semplici fig</w:t>
            </w:r>
            <w:r>
              <w:rPr>
                <w:rFonts w:cs="Calibri"/>
              </w:rPr>
              <w:t>ure.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Riconoscimento di elementi geometrici, di figure geometriche piane e solide.</w:t>
            </w:r>
          </w:p>
          <w:p w:rsidR="00312DF8" w:rsidRDefault="005B0811">
            <w:pPr>
              <w:tabs>
                <w:tab w:val="left" w:pos="235"/>
              </w:tabs>
              <w:rPr>
                <w:rFonts w:cs="Calibri"/>
              </w:rPr>
            </w:pPr>
            <w:r>
              <w:rPr>
                <w:rFonts w:cs="Calibri"/>
              </w:rPr>
              <w:t>Rette, semirette e segmenti.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Riconoscimento degli angoli e della loro ampiezza.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Analisi delle caratteristiche e classificazione dei poligoni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 xml:space="preserve">Misurazione del perimetro di </w:t>
            </w:r>
            <w:r>
              <w:rPr>
                <w:rFonts w:cs="Calibri"/>
              </w:rPr>
              <w:t>triangoli e quadrilateri.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 xml:space="preserve">Individuazione  e rappresentazione delle figure isoperimetriche. </w:t>
            </w:r>
          </w:p>
          <w:p w:rsidR="00312DF8" w:rsidRDefault="005B0811">
            <w:r>
              <w:rPr>
                <w:rFonts w:cs="Calibri"/>
              </w:rPr>
              <w:t>Calcolo dell’area in triangoli e quadrilateri .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jc w:val="both"/>
            </w:pPr>
            <w:r>
              <w:t xml:space="preserve">L’alunno: Riconosce e rappresenta forme del piano e dello spazio, relazione e strutture che si trovano in natura o </w:t>
            </w:r>
            <w:r>
              <w:t>che sono state create dall’uomo.</w:t>
            </w:r>
          </w:p>
          <w:p w:rsidR="00312DF8" w:rsidRDefault="005B0811">
            <w:pPr>
              <w:jc w:val="both"/>
            </w:pPr>
            <w:r>
              <w:t>Descrive, denomina e classifica figure in base a caratteristiche geometriche, ne determina misure, progetta e costruisce modelli concreti di vario tipo.</w:t>
            </w:r>
          </w:p>
          <w:p w:rsidR="00312DF8" w:rsidRDefault="005B0811">
            <w:pPr>
              <w:jc w:val="both"/>
            </w:pPr>
            <w:r>
              <w:t xml:space="preserve">Utilizza strumenti per il disegno  geometrico (riga, squadra) e i più </w:t>
            </w:r>
            <w:r>
              <w:t>comuni strumenti di misura (metro, goniometro…)</w:t>
            </w:r>
          </w:p>
          <w:p w:rsidR="00312DF8" w:rsidRDefault="005B0811">
            <w:pPr>
              <w:jc w:val="both"/>
            </w:pPr>
            <w:r>
              <w:t>Riesce a risolvere facili problemi in tutti gli ambiti di contenuto, mantenendo il controllo sia sul processo risolutivo, sia sui risultati. Descrive il procedimento seguito e riconosce strategie di soluzione</w:t>
            </w:r>
            <w:r>
              <w:t xml:space="preserve"> diverse dalla propria. </w:t>
            </w:r>
          </w:p>
          <w:p w:rsidR="00312DF8" w:rsidRDefault="005B0811">
            <w:pPr>
              <w:jc w:val="both"/>
            </w:pPr>
            <w:r>
              <w:t>Costruisce ragionamenti formulando ipotesi, sostenendo le proprie idee e confrontandosi con il punto di vista di altri.</w:t>
            </w:r>
          </w:p>
          <w:p w:rsidR="00312DF8" w:rsidRDefault="005B0811">
            <w:pPr>
              <w:jc w:val="both"/>
            </w:pPr>
            <w:r>
              <w:t>Sviluppa un atteggiamento positivo rispetto alla matematica, attraverso esperienze significative, che gli hanno</w:t>
            </w:r>
            <w:r>
              <w:t xml:space="preserve"> fatto intuire come gli strumenti matematici che ha imparato ad utilizzare siano utili per operare nella realtà.</w:t>
            </w:r>
          </w:p>
        </w:tc>
      </w:tr>
    </w:tbl>
    <w:p w:rsidR="00312DF8" w:rsidRDefault="00312DF8"/>
    <w:p w:rsidR="00312DF8" w:rsidRDefault="00312DF8"/>
    <w:p w:rsidR="00312DF8" w:rsidRDefault="00312DF8"/>
    <w:tbl>
      <w:tblPr>
        <w:tblW w:w="9628" w:type="dxa"/>
        <w:tblCellMar>
          <w:left w:w="10" w:type="dxa"/>
          <w:right w:w="10" w:type="dxa"/>
        </w:tblCellMar>
        <w:tblLook w:val="0000"/>
      </w:tblPr>
      <w:tblGrid>
        <w:gridCol w:w="768"/>
        <w:gridCol w:w="3094"/>
        <w:gridCol w:w="2678"/>
        <w:gridCol w:w="3088"/>
      </w:tblGrid>
      <w:tr w:rsidR="00312DF8">
        <w:tblPrEx>
          <w:tblCellMar>
            <w:top w:w="0" w:type="dxa"/>
            <w:bottom w:w="0" w:type="dxa"/>
          </w:tblCellMar>
        </w:tblPrEx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312DF8"/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OBIETTIVI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CONTENUTI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TRAGUARDI DI COMPETENZA</w:t>
            </w:r>
          </w:p>
        </w:tc>
      </w:tr>
      <w:tr w:rsidR="00312DF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312DF8" w:rsidRDefault="005B0811">
            <w:pPr>
              <w:ind w:left="113" w:right="113"/>
              <w:jc w:val="center"/>
            </w:pPr>
            <w:r>
              <w:rPr>
                <w:rFonts w:cs="Calibri"/>
                <w:b/>
                <w:sz w:val="24"/>
                <w:szCs w:val="24"/>
              </w:rPr>
              <w:t>Relazioni, dati e previsioni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312DF8">
            <w:pPr>
              <w:rPr>
                <w:rFonts w:cs="Calibri"/>
                <w:b/>
              </w:rPr>
            </w:pP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 xml:space="preserve">Classificare numeri, figure, oggetti in base ad una o più </w:t>
            </w:r>
            <w:r>
              <w:rPr>
                <w:rFonts w:cs="Calibri"/>
              </w:rPr>
              <w:t>proprietà, utilizzando rappresentazioni opportune a seconda dei contesti e dei fini.</w:t>
            </w:r>
          </w:p>
          <w:p w:rsidR="00312DF8" w:rsidRDefault="005B0811">
            <w:r>
              <w:rPr>
                <w:rFonts w:cs="Calibri"/>
              </w:rPr>
              <w:t>Argomentare sui criteri che sono stati usati per realizzare classificazioni e ordinamenti assegnati.</w:t>
            </w:r>
          </w:p>
          <w:p w:rsidR="00312DF8" w:rsidRDefault="005B0811">
            <w:pPr>
              <w:pStyle w:val="Paragrafoelenco"/>
              <w:spacing w:after="0" w:line="240" w:lineRule="auto"/>
              <w:ind w:left="0"/>
              <w:jc w:val="both"/>
            </w:pPr>
            <w:r>
              <w:t>Leggere e rappresentare relazioni e dati con diagrammi, schemi e tabel</w:t>
            </w:r>
            <w:r>
              <w:t>le per ricavare informazioni, formulare giudizi, prendere decisioni.</w:t>
            </w:r>
          </w:p>
          <w:p w:rsidR="00312DF8" w:rsidRDefault="00312DF8">
            <w:pPr>
              <w:ind w:left="283" w:hanging="283"/>
              <w:jc w:val="both"/>
            </w:pPr>
          </w:p>
          <w:p w:rsidR="00312DF8" w:rsidRDefault="005B0811">
            <w:pPr>
              <w:pStyle w:val="Paragrafoelenco"/>
              <w:ind w:left="0"/>
              <w:jc w:val="both"/>
            </w:pPr>
            <w:r>
              <w:t>Rappresentare problemi con tabelle e grafici che ne esprimono la struttura.</w:t>
            </w:r>
          </w:p>
          <w:p w:rsidR="00312DF8" w:rsidRDefault="00312DF8">
            <w:pPr>
              <w:pStyle w:val="Paragrafoelenco"/>
              <w:ind w:left="0"/>
              <w:jc w:val="both"/>
            </w:pPr>
          </w:p>
          <w:p w:rsidR="00312DF8" w:rsidRDefault="005B0811">
            <w:pPr>
              <w:pStyle w:val="Paragrafoelenco"/>
              <w:ind w:left="0"/>
              <w:jc w:val="both"/>
            </w:pPr>
            <w:r>
              <w:t xml:space="preserve">Utilizzare le principali unità di misura per lunghezze, capacità, massa/peso, angoli, durate temporali per </w:t>
            </w:r>
            <w:r>
              <w:t>effettuare misure e stime.</w:t>
            </w:r>
          </w:p>
          <w:p w:rsidR="00312DF8" w:rsidRDefault="00312DF8">
            <w:pPr>
              <w:pStyle w:val="Paragrafoelenco"/>
            </w:pPr>
          </w:p>
          <w:p w:rsidR="00312DF8" w:rsidRDefault="005B0811">
            <w:pPr>
              <w:pStyle w:val="Paragrafoelenco"/>
              <w:ind w:left="0"/>
              <w:jc w:val="both"/>
            </w:pPr>
            <w:r>
              <w:t>Passare da un’unità di misura ad un’altra limitatamente alle unità di uso più comuni, anche nel contesto del sistema monetario.</w:t>
            </w:r>
          </w:p>
          <w:p w:rsidR="00312DF8" w:rsidRDefault="00312DF8">
            <w:pPr>
              <w:rPr>
                <w:rFonts w:cs="Calibri"/>
                <w:b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312DF8">
            <w:pPr>
              <w:jc w:val="center"/>
              <w:rPr>
                <w:rFonts w:cs="Calibri"/>
                <w:b/>
              </w:rPr>
            </w:pP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Rappresentazione di dati con grafici e tabelle.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Effettuazione e rappresentazione di indagini e sta</w:t>
            </w:r>
            <w:r>
              <w:rPr>
                <w:rFonts w:cs="Calibri"/>
              </w:rPr>
              <w:t>tistiche.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Conoscenza e utilizzo delle unità di misura convenzionali di lunghezza, massa/peso e capacità.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Risoluzione di equivalenze.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Interpretazione di dati: frequenza, moda e media.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Calcolo della media e della probabilità.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Conoscenza e utilizzo delle unit</w:t>
            </w:r>
            <w:r>
              <w:rPr>
                <w:rFonts w:cs="Calibri"/>
              </w:rPr>
              <w:t>à di misura del tempo.</w:t>
            </w:r>
          </w:p>
          <w:p w:rsidR="00312DF8" w:rsidRDefault="005B0811">
            <w:pPr>
              <w:rPr>
                <w:rFonts w:cs="Calibri"/>
              </w:rPr>
            </w:pPr>
            <w:r>
              <w:rPr>
                <w:rFonts w:cs="Calibri"/>
              </w:rPr>
              <w:t>Costo unitario e costo totale.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DF8" w:rsidRDefault="005B0811">
            <w:pPr>
              <w:jc w:val="both"/>
            </w:pPr>
            <w:r>
              <w:t>L’alunno:</w:t>
            </w:r>
          </w:p>
          <w:p w:rsidR="00312DF8" w:rsidRDefault="005B0811">
            <w:pPr>
              <w:jc w:val="both"/>
            </w:pPr>
            <w:r>
              <w:t>Ricerca dati per ricavare informazioni e costruisce rappresentazioni (tabelle e grafici). Ricava informazioni anche da dati rappresentati in tabelle e grafici.</w:t>
            </w:r>
          </w:p>
          <w:p w:rsidR="00312DF8" w:rsidRDefault="005B0811">
            <w:pPr>
              <w:jc w:val="both"/>
            </w:pPr>
            <w:r>
              <w:t xml:space="preserve">Riconosce e quantifica, in casi </w:t>
            </w:r>
            <w:r>
              <w:t>semplici, situazioni di incertezza.</w:t>
            </w:r>
          </w:p>
          <w:p w:rsidR="00312DF8" w:rsidRDefault="005B0811">
            <w:pPr>
              <w:jc w:val="both"/>
            </w:pPr>
            <w:r>
              <w:t>Legge e comprende testi che coinvolgono aspetti logici e matematici.</w:t>
            </w:r>
          </w:p>
          <w:p w:rsidR="00312DF8" w:rsidRDefault="005B0811">
            <w:pPr>
              <w:jc w:val="both"/>
            </w:pPr>
            <w:r>
              <w:t>Riesce a risolvere facili problemi in tutti gli ambiti di contenuto, mantenendo il controllo sia sul processo risolutivo, sia sui risultati. Descrive i</w:t>
            </w:r>
            <w:r>
              <w:t>l procedimento seguito e riconosce strategie di soluzione diverse dalla propria.</w:t>
            </w:r>
          </w:p>
          <w:p w:rsidR="00312DF8" w:rsidRDefault="005B0811">
            <w:pPr>
              <w:jc w:val="both"/>
            </w:pPr>
            <w:r>
              <w:t>Costruisce ragionamenti formulando ipotesi, sostenendo le proprie idee e confrontandosi con il punto di vista di altri.</w:t>
            </w:r>
          </w:p>
          <w:p w:rsidR="00312DF8" w:rsidRDefault="005B0811">
            <w:r>
              <w:t xml:space="preserve">Sviluppa un atteggiamento positivo rispetto alla </w:t>
            </w:r>
            <w:r>
              <w:t>matematica, attraverso esperienze significative, che gli hanno fatto intuire come gli strumenti matematici che ha imparato ad utilizzare siano utili per operare nella realtà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312DF8" w:rsidRDefault="00312DF8"/>
    <w:sectPr w:rsidR="00312DF8" w:rsidSect="00312DF8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811" w:rsidRDefault="005B0811" w:rsidP="00312DF8">
      <w:pPr>
        <w:spacing w:after="0" w:line="240" w:lineRule="auto"/>
      </w:pPr>
      <w:r>
        <w:separator/>
      </w:r>
    </w:p>
  </w:endnote>
  <w:endnote w:type="continuationSeparator" w:id="0">
    <w:p w:rsidR="005B0811" w:rsidRDefault="005B0811" w:rsidP="00312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811" w:rsidRDefault="005B0811" w:rsidP="00312DF8">
      <w:pPr>
        <w:spacing w:after="0" w:line="240" w:lineRule="auto"/>
      </w:pPr>
      <w:r w:rsidRPr="00312DF8">
        <w:rPr>
          <w:color w:val="000000"/>
        </w:rPr>
        <w:separator/>
      </w:r>
    </w:p>
  </w:footnote>
  <w:footnote w:type="continuationSeparator" w:id="0">
    <w:p w:rsidR="005B0811" w:rsidRDefault="005B0811" w:rsidP="00312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52B7C"/>
    <w:multiLevelType w:val="multilevel"/>
    <w:tmpl w:val="E4AAE1CC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7CFA60C9"/>
    <w:multiLevelType w:val="multilevel"/>
    <w:tmpl w:val="850A52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DF8"/>
    <w:rsid w:val="00312DF8"/>
    <w:rsid w:val="005B0811"/>
    <w:rsid w:val="00AF0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12DF8"/>
    <w:pPr>
      <w:suppressAutoHyphens/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312DF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1502</Words>
  <Characters>8562</Characters>
  <Application>Microsoft Office Word</Application>
  <DocSecurity>0</DocSecurity>
  <Lines>71</Lines>
  <Paragraphs>20</Paragraphs>
  <ScaleCrop>false</ScaleCrop>
  <Company>Hewlett-Packard</Company>
  <LinksUpToDate>false</LinksUpToDate>
  <CharactersWithSpaces>10044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bellini</dc:creator>
  <cp:lastModifiedBy>Anna</cp:lastModifiedBy>
  <cp:revision>2</cp:revision>
  <dcterms:created xsi:type="dcterms:W3CDTF">2017-11-23T07:12:00Z</dcterms:created>
  <dcterms:modified xsi:type="dcterms:W3CDTF">2017-11-23T07:12:00Z</dcterms:modified>
</cp:coreProperties>
</file>